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E25947A"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20</w:t>
      </w:r>
      <w:r>
        <w:rPr>
          <w:rFonts w:cs="Arial"/>
          <w:sz w:val="24"/>
          <w:lang w:eastAsia="zh-CN"/>
        </w:rPr>
        <w:tab/>
      </w:r>
      <w:r w:rsidR="00AE6EFB" w:rsidRPr="00AE6EFB">
        <w:rPr>
          <w:rFonts w:cs="Arial"/>
          <w:sz w:val="24"/>
          <w:lang w:eastAsia="zh-CN"/>
        </w:rPr>
        <w:t>R2-2212931</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3A8300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A0750C">
        <w:rPr>
          <w:rFonts w:eastAsia="宋体" w:cs="Arial"/>
          <w:b/>
          <w:bCs/>
          <w:kern w:val="2"/>
          <w:sz w:val="24"/>
          <w:szCs w:val="22"/>
          <w:lang w:val="en-US" w:eastAsia="zh-CN"/>
        </w:rPr>
        <w:t>10</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B0D8BD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0750C" w:rsidRPr="00A0750C">
        <w:rPr>
          <w:rFonts w:ascii="Arial" w:hAnsi="Arial" w:cs="Arial"/>
          <w:b/>
          <w:bCs/>
          <w:sz w:val="24"/>
        </w:rPr>
        <w:t>FDM solution for IDC</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4ADF5B68" w:rsidR="004C4485" w:rsidRPr="00025CAF"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 xml:space="preserve">s related to </w:t>
      </w:r>
      <w:r w:rsidR="00A0750C">
        <w:rPr>
          <w:rFonts w:eastAsiaTheme="minorEastAsia"/>
          <w:lang w:eastAsia="zh-CN"/>
        </w:rPr>
        <w:t>FDM solution</w:t>
      </w:r>
      <w:r>
        <w:rPr>
          <w:rFonts w:eastAsiaTheme="minorEastAsia"/>
          <w:lang w:eastAsia="zh-CN"/>
        </w:rPr>
        <w:t xml:space="preserve"> are obtained</w:t>
      </w:r>
      <w:r w:rsidR="00A0750C">
        <w:rPr>
          <w:rFonts w:eastAsiaTheme="minorEastAsia"/>
          <w:lang w:eastAsia="zh-CN"/>
        </w:rPr>
        <w:t xml:space="preserve"> in RAN2#119</w:t>
      </w:r>
      <w:r w:rsidR="0032040A">
        <w:rPr>
          <w:rFonts w:eastAsiaTheme="minorEastAsia"/>
          <w:lang w:eastAsia="zh-CN"/>
        </w:rPr>
        <w:t>bis</w:t>
      </w:r>
      <w:r w:rsidR="00A0750C">
        <w:rPr>
          <w:rFonts w:eastAsiaTheme="minorEastAsia"/>
          <w:lang w:eastAsia="zh-CN"/>
        </w:rPr>
        <w:t xml:space="preserve"> meeting</w:t>
      </w:r>
      <w:r w:rsidR="0032040A">
        <w:rPr>
          <w:rFonts w:eastAsiaTheme="minorEastAsia"/>
          <w:lang w:eastAsia="zh-CN"/>
        </w:rPr>
        <w:t xml:space="preserve"> [1]</w:t>
      </w:r>
      <w:r w:rsidR="00025CAF">
        <w:rPr>
          <w:rFonts w:eastAsiaTheme="minorEastAsia"/>
          <w:lang w:eastAsia="zh-CN"/>
        </w:rPr>
        <w:t xml:space="preserve">. </w:t>
      </w:r>
    </w:p>
    <w:p w14:paraId="35454B0A" w14:textId="77777777" w:rsidR="00A0750C" w:rsidRDefault="00A0750C" w:rsidP="00A0750C">
      <w:pPr>
        <w:pStyle w:val="Doc-text2"/>
      </w:pPr>
    </w:p>
    <w:tbl>
      <w:tblPr>
        <w:tblStyle w:val="af1"/>
        <w:tblW w:w="0" w:type="auto"/>
        <w:tblInd w:w="137" w:type="dxa"/>
        <w:tblLook w:val="04A0" w:firstRow="1" w:lastRow="0" w:firstColumn="1" w:lastColumn="0" w:noHBand="0" w:noVBand="1"/>
      </w:tblPr>
      <w:tblGrid>
        <w:gridCol w:w="9492"/>
      </w:tblGrid>
      <w:tr w:rsidR="00A0750C" w14:paraId="5FD0F949" w14:textId="77777777" w:rsidTr="00A0750C">
        <w:tc>
          <w:tcPr>
            <w:tcW w:w="9492" w:type="dxa"/>
          </w:tcPr>
          <w:p w14:paraId="3E5C8BF6" w14:textId="77777777" w:rsidR="00A0750C" w:rsidRDefault="00A0750C" w:rsidP="00D84108">
            <w:pPr>
              <w:pStyle w:val="Doc-text2"/>
              <w:ind w:left="0" w:firstLine="0"/>
            </w:pPr>
            <w:r>
              <w:t>Agreements:</w:t>
            </w:r>
          </w:p>
          <w:p w14:paraId="7F722139" w14:textId="77777777" w:rsidR="00A0750C" w:rsidRDefault="00A0750C" w:rsidP="00D84108">
            <w:pPr>
              <w:pStyle w:val="Doc-text2"/>
              <w:ind w:left="0" w:firstLine="0"/>
            </w:pPr>
            <w:r>
              <w:t>1 The Adjacent channel interference between NR Stand Alone (SA) or MN of NR-DC and non-3GPP should be considered for the FDM enhancement in Rel.18.</w:t>
            </w:r>
          </w:p>
          <w:p w14:paraId="160D6C41" w14:textId="77777777" w:rsidR="00A0750C" w:rsidRDefault="00A0750C" w:rsidP="00D84108">
            <w:pPr>
              <w:pStyle w:val="Doc-text2"/>
              <w:ind w:left="0" w:firstLine="0"/>
            </w:pPr>
            <w:r>
              <w:t>2 The Adjacent channel interference between SN (NR) of MR-DC and non-3GPP  should be considered for the FDM enhancement in Rel.18.</w:t>
            </w:r>
          </w:p>
          <w:p w14:paraId="1623276F" w14:textId="77777777" w:rsidR="00A0750C" w:rsidRDefault="00A0750C" w:rsidP="00D84108">
            <w:pPr>
              <w:pStyle w:val="Doc-text2"/>
              <w:ind w:left="0" w:firstLine="0"/>
            </w:pPr>
            <w:r>
              <w:t xml:space="preserve">3 NE-DC is not considered; We will work on NR </w:t>
            </w:r>
            <w:proofErr w:type="spellStart"/>
            <w:r>
              <w:t>freq</w:t>
            </w:r>
            <w:proofErr w:type="spellEnd"/>
            <w:r>
              <w:t xml:space="preserve"> as SA NR case. </w:t>
            </w:r>
          </w:p>
          <w:p w14:paraId="3E1DE6E9" w14:textId="77777777" w:rsidR="00A0750C" w:rsidRDefault="00A0750C" w:rsidP="00D84108">
            <w:pPr>
              <w:pStyle w:val="Doc-text2"/>
              <w:ind w:left="0" w:firstLine="0"/>
            </w:pPr>
            <w:r>
              <w:t xml:space="preserve">4 We will not consider the enhancements on E-UTRA </w:t>
            </w:r>
            <w:proofErr w:type="spellStart"/>
            <w:r>
              <w:t>freq</w:t>
            </w:r>
            <w:proofErr w:type="spellEnd"/>
            <w:r>
              <w:t xml:space="preserve"> for EN-DC scenario. </w:t>
            </w:r>
          </w:p>
          <w:p w14:paraId="0696BCAD" w14:textId="77777777" w:rsidR="00A0750C" w:rsidRDefault="00A0750C" w:rsidP="00D84108">
            <w:pPr>
              <w:pStyle w:val="Doc-text2"/>
              <w:ind w:left="0" w:firstLine="0"/>
            </w:pPr>
            <w:r>
              <w:t>FFS, on signalling details;</w:t>
            </w:r>
          </w:p>
        </w:tc>
      </w:tr>
    </w:tbl>
    <w:p w14:paraId="6EF84773" w14:textId="10635A5C" w:rsidR="00A0750C" w:rsidRDefault="00A0750C" w:rsidP="00A0750C">
      <w:pPr>
        <w:pStyle w:val="Doc-text2"/>
      </w:pPr>
    </w:p>
    <w:tbl>
      <w:tblPr>
        <w:tblStyle w:val="af1"/>
        <w:tblW w:w="9497" w:type="dxa"/>
        <w:tblInd w:w="137" w:type="dxa"/>
        <w:tblLook w:val="04A0" w:firstRow="1" w:lastRow="0" w:firstColumn="1" w:lastColumn="0" w:noHBand="0" w:noVBand="1"/>
      </w:tblPr>
      <w:tblGrid>
        <w:gridCol w:w="9497"/>
      </w:tblGrid>
      <w:tr w:rsidR="00A0750C" w14:paraId="1C0EDB42" w14:textId="77777777" w:rsidTr="00A0750C">
        <w:tc>
          <w:tcPr>
            <w:tcW w:w="9497" w:type="dxa"/>
          </w:tcPr>
          <w:p w14:paraId="7BABAFFD" w14:textId="77777777" w:rsidR="00A0750C" w:rsidRDefault="00A0750C" w:rsidP="00A0750C">
            <w:pPr>
              <w:pStyle w:val="Doc-text2"/>
              <w:ind w:leftChars="-18" w:left="-38" w:firstLine="0"/>
            </w:pPr>
            <w:r>
              <w:t>Agreements:</w:t>
            </w:r>
          </w:p>
          <w:p w14:paraId="7437CB47" w14:textId="77777777" w:rsidR="00A0750C" w:rsidRDefault="00A0750C" w:rsidP="00D84108">
            <w:pPr>
              <w:pStyle w:val="Doc-text2"/>
              <w:ind w:left="0" w:firstLine="0"/>
            </w:pPr>
            <w:r>
              <w:t>1 The IMD interference from simultaneous Tx in EN-DC to non-3GPP  should be considered for the FDM enhancement in Rel.18.</w:t>
            </w:r>
          </w:p>
          <w:p w14:paraId="1B7E6B9D" w14:textId="77777777" w:rsidR="00A0750C" w:rsidRDefault="00A0750C" w:rsidP="00D84108">
            <w:pPr>
              <w:pStyle w:val="Doc-text2"/>
              <w:ind w:left="0" w:firstLine="0"/>
            </w:pPr>
            <w:r>
              <w:t>2 The IMD interference from simultaneous Tx in NR-DC to non-3GPP  should be considered for the FDM enhancement in Rel.18.</w:t>
            </w:r>
          </w:p>
          <w:p w14:paraId="5BF33396" w14:textId="77777777" w:rsidR="00A0750C" w:rsidRDefault="00A0750C" w:rsidP="00D84108">
            <w:pPr>
              <w:pStyle w:val="Doc-text2"/>
              <w:ind w:left="0" w:firstLine="0"/>
            </w:pPr>
            <w:r>
              <w:t xml:space="preserve">Note: the solution (on </w:t>
            </w:r>
            <w:proofErr w:type="spellStart"/>
            <w:r>
              <w:t>freq</w:t>
            </w:r>
            <w:proofErr w:type="spellEnd"/>
            <w:r>
              <w:t xml:space="preserve"> granularity) for adjacent can be reused for IMD, we will not invent new solution on </w:t>
            </w:r>
            <w:proofErr w:type="spellStart"/>
            <w:r>
              <w:t>freq</w:t>
            </w:r>
            <w:proofErr w:type="spellEnd"/>
            <w:r>
              <w:t xml:space="preserve"> granularity for IMD. FFS on signalling details. </w:t>
            </w:r>
          </w:p>
        </w:tc>
      </w:tr>
    </w:tbl>
    <w:p w14:paraId="4722DC62" w14:textId="77777777" w:rsidR="00A0750C" w:rsidRDefault="00A0750C" w:rsidP="00A0750C">
      <w:pPr>
        <w:pStyle w:val="Doc-text2"/>
        <w:ind w:left="1982" w:firstLine="0"/>
      </w:pPr>
    </w:p>
    <w:tbl>
      <w:tblPr>
        <w:tblStyle w:val="af1"/>
        <w:tblW w:w="9497" w:type="dxa"/>
        <w:tblInd w:w="137" w:type="dxa"/>
        <w:tblLook w:val="04A0" w:firstRow="1" w:lastRow="0" w:firstColumn="1" w:lastColumn="0" w:noHBand="0" w:noVBand="1"/>
      </w:tblPr>
      <w:tblGrid>
        <w:gridCol w:w="9497"/>
      </w:tblGrid>
      <w:tr w:rsidR="00A0750C" w14:paraId="52162649" w14:textId="77777777" w:rsidTr="00A0750C">
        <w:tc>
          <w:tcPr>
            <w:tcW w:w="9497" w:type="dxa"/>
          </w:tcPr>
          <w:p w14:paraId="1F6D7658" w14:textId="77777777" w:rsidR="00A0750C" w:rsidRDefault="00A0750C" w:rsidP="00D84108">
            <w:pPr>
              <w:pStyle w:val="Doc-text2"/>
              <w:ind w:left="0" w:firstLine="0"/>
            </w:pPr>
            <w:r>
              <w:t>Agreements:</w:t>
            </w:r>
          </w:p>
          <w:p w14:paraId="4561C02C" w14:textId="77777777" w:rsidR="00A0750C" w:rsidRDefault="00A0750C" w:rsidP="00D84108">
            <w:pPr>
              <w:pStyle w:val="Doc-text2"/>
              <w:ind w:left="0" w:firstLine="0"/>
            </w:pPr>
            <w:r>
              <w:t>1 G</w:t>
            </w:r>
            <w:r w:rsidRPr="00B40127">
              <w:t>ranular indications of the affected NR frequency reported for IDC issue needs to consider both serving and non-serving frequency as in the legacy FDM solution.</w:t>
            </w:r>
          </w:p>
        </w:tc>
      </w:tr>
    </w:tbl>
    <w:p w14:paraId="4E8E26BB" w14:textId="77777777" w:rsidR="00A0750C" w:rsidRPr="00A0750C" w:rsidRDefault="00A0750C" w:rsidP="00A0750C">
      <w:pPr>
        <w:pStyle w:val="Doc-text2"/>
        <w:rPr>
          <w:lang w:val="en-US"/>
        </w:rPr>
      </w:pPr>
    </w:p>
    <w:p w14:paraId="01AC9F7F" w14:textId="1329BFD2"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w:t>
      </w:r>
      <w:r w:rsidR="00A0750C">
        <w:rPr>
          <w:rFonts w:ascii="Times New Roman" w:eastAsia="MS Mincho" w:hAnsi="Times New Roman"/>
          <w:lang w:eastAsia="ja-JP"/>
        </w:rPr>
        <w:t xml:space="preserve">further </w:t>
      </w:r>
      <w:r w:rsidRPr="00BE7FE3">
        <w:rPr>
          <w:rFonts w:ascii="Times New Roman" w:eastAsia="MS Mincho" w:hAnsi="Times New Roman"/>
          <w:lang w:eastAsia="ja-JP"/>
        </w:rPr>
        <w:t>discuss</w:t>
      </w:r>
      <w:r w:rsidR="00484222">
        <w:rPr>
          <w:rFonts w:ascii="Times New Roman" w:eastAsia="MS Mincho" w:hAnsi="Times New Roman"/>
          <w:lang w:eastAsia="ja-JP"/>
        </w:rPr>
        <w:t xml:space="preserve"> </w:t>
      </w:r>
      <w:r w:rsidR="00A0750C">
        <w:rPr>
          <w:rFonts w:ascii="Times New Roman" w:eastAsia="MS Mincho" w:hAnsi="Times New Roman"/>
          <w:lang w:eastAsia="ja-JP"/>
        </w:rPr>
        <w:t xml:space="preserve">FDM for IDC </w:t>
      </w:r>
      <w:r w:rsidR="00B80783">
        <w:rPr>
          <w:rFonts w:ascii="Times New Roman" w:eastAsia="MS Mincho" w:hAnsi="Times New Roman"/>
          <w:lang w:eastAsia="ja-JP"/>
        </w:rPr>
        <w:t>[1]</w:t>
      </w:r>
      <w:r w:rsidRPr="008A62C9">
        <w:rPr>
          <w:rFonts w:ascii="Times New Roman" w:eastAsia="MS Mincho" w:hAnsi="Times New Roman"/>
          <w:lang w:eastAsia="ja-JP"/>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00026EC" w14:textId="5CF79912" w:rsidR="00D34328" w:rsidRPr="00FF2B81" w:rsidRDefault="00FF2B81" w:rsidP="00D34328">
      <w:pPr>
        <w:spacing w:beforeLines="50" w:before="156" w:afterLines="50" w:after="156"/>
        <w:rPr>
          <w:rFonts w:ascii="Times New Roman" w:hAnsi="Times New Roman"/>
          <w:sz w:val="20"/>
          <w:szCs w:val="20"/>
        </w:rPr>
      </w:pPr>
      <w:r w:rsidRPr="00FF2B81">
        <w:rPr>
          <w:rFonts w:ascii="Times New Roman" w:hAnsi="Times New Roman"/>
          <w:sz w:val="20"/>
          <w:szCs w:val="20"/>
        </w:rPr>
        <w:t xml:space="preserve">In </w:t>
      </w:r>
      <w:r w:rsidRPr="00FF2B81">
        <w:rPr>
          <w:rFonts w:ascii="Times New Roman" w:hAnsi="Times New Roman"/>
          <w:sz w:val="20"/>
          <w:szCs w:val="20"/>
        </w:rPr>
        <w:t>[Post119-e][650][IDC]</w:t>
      </w:r>
      <w:r w:rsidRPr="00FF2B81">
        <w:rPr>
          <w:rFonts w:ascii="Times New Roman" w:hAnsi="Times New Roman"/>
          <w:sz w:val="20"/>
          <w:szCs w:val="20"/>
        </w:rPr>
        <w:t>, we discuss the solutions</w:t>
      </w:r>
      <w:r>
        <w:rPr>
          <w:rFonts w:ascii="Times New Roman" w:hAnsi="Times New Roman"/>
          <w:sz w:val="20"/>
          <w:szCs w:val="20"/>
        </w:rPr>
        <w:t xml:space="preserve"> for NR as follows</w:t>
      </w:r>
      <w:r w:rsidRPr="00FF2B81">
        <w:rPr>
          <w:rFonts w:ascii="Times New Roman" w:hAnsi="Times New Roman"/>
          <w:sz w:val="20"/>
          <w:szCs w:val="20"/>
        </w:rPr>
        <w:t>.</w:t>
      </w:r>
    </w:p>
    <w:p w14:paraId="67A5E5BB" w14:textId="77777777" w:rsidR="00FF2B81" w:rsidRDefault="00FF2B81" w:rsidP="00FF2B81">
      <w:pPr>
        <w:ind w:left="426" w:right="850"/>
        <w:rPr>
          <w:rFonts w:ascii="Arial" w:hAnsi="Arial"/>
        </w:rPr>
      </w:pPr>
      <w:r>
        <w:rPr>
          <w:rFonts w:ascii="Arial" w:hAnsi="Arial"/>
          <w:b/>
          <w:bCs/>
        </w:rPr>
        <w:t>Option 1</w:t>
      </w:r>
      <w:r>
        <w:rPr>
          <w:rFonts w:ascii="Arial" w:hAnsi="Arial"/>
        </w:rPr>
        <w:t xml:space="preserve">: Central frequency + Bandwidth of the actual affected frequency range (3/14 for both serving and </w:t>
      </w:r>
      <w:proofErr w:type="spellStart"/>
      <w:r>
        <w:rPr>
          <w:rFonts w:ascii="Arial" w:hAnsi="Arial"/>
        </w:rPr>
        <w:t>non serving</w:t>
      </w:r>
      <w:proofErr w:type="spellEnd"/>
      <w:r>
        <w:rPr>
          <w:rFonts w:ascii="Arial" w:hAnsi="Arial"/>
        </w:rPr>
        <w:t xml:space="preserve"> frequency, 2/14 non serving frequency) </w:t>
      </w:r>
      <w:r>
        <w:rPr>
          <w:rFonts w:ascii="Arial" w:eastAsia="Malgun Gothic" w:hAnsi="Arial" w:cs="Arial"/>
          <w:lang w:eastAsia="ko-KR"/>
        </w:rPr>
        <w:t>[5], [6], [9], [11].</w:t>
      </w:r>
    </w:p>
    <w:p w14:paraId="626B2E71" w14:textId="77777777" w:rsidR="00FF2B81" w:rsidRDefault="00FF2B81" w:rsidP="00FF2B81">
      <w:pPr>
        <w:ind w:left="426" w:right="850"/>
        <w:rPr>
          <w:rFonts w:ascii="Arial" w:hAnsi="Arial"/>
        </w:rPr>
      </w:pPr>
      <w:r>
        <w:rPr>
          <w:rFonts w:ascii="Arial" w:hAnsi="Arial"/>
          <w:b/>
          <w:bCs/>
        </w:rPr>
        <w:t>Option 2</w:t>
      </w:r>
      <w:r>
        <w:rPr>
          <w:rFonts w:ascii="Arial" w:hAnsi="Arial"/>
        </w:rPr>
        <w:t xml:space="preserve">: Starting frequency + Ending frequency of the actual affected frequency range (2/14 for both serving frequency and non-serving frequency) </w:t>
      </w:r>
      <w:r>
        <w:rPr>
          <w:rFonts w:ascii="Arial" w:eastAsia="Malgun Gothic" w:hAnsi="Arial" w:cs="Arial"/>
          <w:lang w:eastAsia="ko-KR"/>
        </w:rPr>
        <w:t>[5], [6].</w:t>
      </w:r>
    </w:p>
    <w:p w14:paraId="44E19A63" w14:textId="77777777" w:rsidR="00FF2B81" w:rsidRDefault="00FF2B81" w:rsidP="00FF2B81">
      <w:pPr>
        <w:ind w:left="426" w:right="850"/>
        <w:rPr>
          <w:rFonts w:ascii="Arial" w:hAnsi="Arial"/>
        </w:rPr>
      </w:pPr>
      <w:r>
        <w:rPr>
          <w:rFonts w:ascii="Arial" w:hAnsi="Arial"/>
          <w:b/>
          <w:bCs/>
        </w:rPr>
        <w:t>Option 2a</w:t>
      </w:r>
      <w:r>
        <w:rPr>
          <w:rFonts w:ascii="Arial" w:hAnsi="Arial"/>
        </w:rPr>
        <w:t xml:space="preserve">: starting frequency + Bandwidth of the actual affected frequency range (1/14 for both serving frequency and non-serving frequency) </w:t>
      </w:r>
      <w:r>
        <w:rPr>
          <w:rFonts w:ascii="Arial" w:eastAsia="Malgun Gothic" w:hAnsi="Arial" w:cs="Arial"/>
          <w:lang w:eastAsia="ko-KR"/>
        </w:rPr>
        <w:t>[6].</w:t>
      </w:r>
    </w:p>
    <w:p w14:paraId="1DECB30A" w14:textId="77777777" w:rsidR="00FF2B81" w:rsidRDefault="00FF2B81" w:rsidP="00FF2B81">
      <w:pPr>
        <w:ind w:left="426" w:right="850"/>
        <w:rPr>
          <w:rFonts w:ascii="Arial" w:hAnsi="Arial"/>
        </w:rPr>
      </w:pPr>
      <w:r>
        <w:rPr>
          <w:rFonts w:ascii="Arial" w:hAnsi="Arial"/>
          <w:b/>
          <w:bCs/>
        </w:rPr>
        <w:lastRenderedPageBreak/>
        <w:t>Option 3</w:t>
      </w:r>
      <w:r>
        <w:rPr>
          <w:rFonts w:ascii="Arial" w:hAnsi="Arial"/>
        </w:rPr>
        <w:t xml:space="preserve">: BWP-based reporting using BWP ID (5/14 serving frequency only , 2/14 for both serving and </w:t>
      </w:r>
      <w:proofErr w:type="spellStart"/>
      <w:r>
        <w:rPr>
          <w:rFonts w:ascii="Arial" w:hAnsi="Arial"/>
        </w:rPr>
        <w:t>non serving</w:t>
      </w:r>
      <w:proofErr w:type="spellEnd"/>
      <w:r>
        <w:rPr>
          <w:rFonts w:ascii="Arial" w:hAnsi="Arial"/>
        </w:rPr>
        <w:t xml:space="preserve"> frequency) </w:t>
      </w:r>
      <w:r>
        <w:rPr>
          <w:rFonts w:ascii="Arial" w:eastAsia="Malgun Gothic" w:hAnsi="Arial" w:cs="Arial"/>
          <w:lang w:eastAsia="ko-KR"/>
        </w:rPr>
        <w:t>[1], [6], [7], [10], [12], [13].</w:t>
      </w:r>
    </w:p>
    <w:p w14:paraId="1C9D4FC4" w14:textId="77777777" w:rsidR="00FF2B81" w:rsidRDefault="00FF2B81" w:rsidP="00FF2B81">
      <w:pPr>
        <w:ind w:left="426" w:right="850"/>
        <w:rPr>
          <w:rFonts w:ascii="Arial" w:hAnsi="Arial"/>
        </w:rPr>
      </w:pPr>
      <w:r>
        <w:rPr>
          <w:rFonts w:ascii="Arial" w:hAnsi="Arial"/>
          <w:b/>
          <w:bCs/>
        </w:rPr>
        <w:t>Option 4</w:t>
      </w:r>
      <w:r>
        <w:rPr>
          <w:rFonts w:ascii="Arial" w:hAnsi="Arial"/>
        </w:rPr>
        <w:t xml:space="preserve">: BWP-based reporting using BWP ID + PRB index (2/14 for serving frequency) </w:t>
      </w:r>
      <w:r>
        <w:rPr>
          <w:rFonts w:ascii="Arial" w:eastAsia="Malgun Gothic" w:hAnsi="Arial" w:cs="Arial"/>
          <w:lang w:eastAsia="ko-KR"/>
        </w:rPr>
        <w:t>[6]. [7], [9].</w:t>
      </w:r>
    </w:p>
    <w:p w14:paraId="458F6343" w14:textId="77777777" w:rsidR="00FF2B81" w:rsidRDefault="00FF2B81" w:rsidP="00FF2B81">
      <w:pPr>
        <w:ind w:left="426" w:right="850"/>
        <w:rPr>
          <w:rFonts w:ascii="Arial" w:hAnsi="Arial" w:cs="Arial"/>
        </w:rPr>
      </w:pPr>
      <w:r>
        <w:rPr>
          <w:rFonts w:ascii="Arial" w:hAnsi="Arial"/>
          <w:b/>
          <w:bCs/>
        </w:rPr>
        <w:t>Option 6</w:t>
      </w:r>
      <w:r>
        <w:rPr>
          <w:rFonts w:ascii="Arial" w:hAnsi="Arial"/>
        </w:rPr>
        <w:t xml:space="preserve">: Resource Block Group (RBG) based reporting (1/14 for both serving frequency and non-serving frequency) </w:t>
      </w:r>
      <w:r>
        <w:rPr>
          <w:rFonts w:ascii="Arial" w:hAnsi="Arial" w:cs="Arial"/>
        </w:rPr>
        <w:t>[8].</w:t>
      </w:r>
    </w:p>
    <w:p w14:paraId="0425B42B" w14:textId="18C36B4F" w:rsidR="00FF2B81" w:rsidRDefault="00FF2B81" w:rsidP="00D34328">
      <w:pPr>
        <w:spacing w:beforeLines="50" w:before="156" w:afterLines="50" w:after="156"/>
        <w:rPr>
          <w:rFonts w:ascii="Times New Roman" w:hAnsi="Times New Roman"/>
        </w:rPr>
      </w:pPr>
      <w:r>
        <w:rPr>
          <w:rFonts w:ascii="Times New Roman" w:hAnsi="Times New Roman"/>
        </w:rPr>
        <w:t>In general, there are two types of solutions including f</w:t>
      </w:r>
      <w:r w:rsidRPr="00FF2B81">
        <w:rPr>
          <w:rFonts w:ascii="Times New Roman" w:hAnsi="Times New Roman"/>
        </w:rPr>
        <w:t xml:space="preserve">requency-range </w:t>
      </w:r>
      <w:r>
        <w:rPr>
          <w:rFonts w:ascii="Times New Roman" w:hAnsi="Times New Roman"/>
        </w:rPr>
        <w:t xml:space="preserve">based </w:t>
      </w:r>
      <w:r w:rsidRPr="00FF2B81">
        <w:rPr>
          <w:rFonts w:ascii="Times New Roman" w:hAnsi="Times New Roman"/>
        </w:rPr>
        <w:t>option</w:t>
      </w:r>
      <w:r w:rsidRPr="00FF2B81">
        <w:rPr>
          <w:rFonts w:ascii="Times New Roman" w:hAnsi="Times New Roman"/>
        </w:rPr>
        <w:t xml:space="preserve"> and BWP based option</w:t>
      </w:r>
      <w:r>
        <w:rPr>
          <w:rFonts w:ascii="Times New Roman" w:hAnsi="Times New Roman"/>
        </w:rPr>
        <w:t xml:space="preserve">. </w:t>
      </w:r>
      <w:r>
        <w:rPr>
          <w:rFonts w:ascii="Times New Roman" w:hAnsi="Times New Roman" w:hint="eastAsia"/>
        </w:rPr>
        <w:t>R</w:t>
      </w:r>
      <w:r>
        <w:rPr>
          <w:rFonts w:ascii="Times New Roman" w:hAnsi="Times New Roman"/>
        </w:rPr>
        <w:t xml:space="preserve">egarding </w:t>
      </w:r>
      <w:r w:rsidRPr="00FF2B81">
        <w:rPr>
          <w:rFonts w:ascii="Times New Roman" w:hAnsi="Times New Roman"/>
        </w:rPr>
        <w:t>Frequency-range option</w:t>
      </w:r>
      <w:r>
        <w:rPr>
          <w:rFonts w:ascii="Times New Roman" w:hAnsi="Times New Roman"/>
        </w:rPr>
        <w:t xml:space="preserve"> </w:t>
      </w:r>
      <w:proofErr w:type="spellStart"/>
      <w:r>
        <w:rPr>
          <w:rFonts w:ascii="Times New Roman" w:hAnsi="Times New Roman"/>
        </w:rPr>
        <w:t>e.g</w:t>
      </w:r>
      <w:proofErr w:type="spellEnd"/>
      <w:r>
        <w:rPr>
          <w:rFonts w:ascii="Times New Roman" w:hAnsi="Times New Roman"/>
        </w:rPr>
        <w:t xml:space="preserve"> option1/2/2a, it can be applied to both serving frequency and non-serving frequency. In addition, </w:t>
      </w:r>
      <w:r>
        <w:rPr>
          <w:rFonts w:ascii="Times New Roman" w:hAnsi="Times New Roman"/>
        </w:rPr>
        <w:t xml:space="preserve">the full </w:t>
      </w:r>
      <w:r w:rsidRPr="00FF2B81">
        <w:rPr>
          <w:rFonts w:ascii="Times New Roman" w:hAnsi="Times New Roman"/>
        </w:rPr>
        <w:t>flexibility</w:t>
      </w:r>
      <w:r>
        <w:rPr>
          <w:rFonts w:ascii="Times New Roman" w:hAnsi="Times New Roman"/>
        </w:rPr>
        <w:t xml:space="preserve"> can be foreseen in this option. More specifically, any</w:t>
      </w:r>
      <w:r w:rsidRPr="00FF2B81">
        <w:rPr>
          <w:rFonts w:ascii="Times New Roman" w:hAnsi="Times New Roman"/>
        </w:rPr>
        <w:t xml:space="preserve"> frequency range for granular reporting</w:t>
      </w:r>
      <w:r>
        <w:rPr>
          <w:rFonts w:ascii="Times New Roman" w:hAnsi="Times New Roman"/>
        </w:rPr>
        <w:t xml:space="preserve"> can be configured by </w:t>
      </w:r>
      <w:proofErr w:type="spellStart"/>
      <w:r>
        <w:rPr>
          <w:rFonts w:ascii="Times New Roman" w:hAnsi="Times New Roman"/>
        </w:rPr>
        <w:t>gNB</w:t>
      </w:r>
      <w:proofErr w:type="spellEnd"/>
      <w:r>
        <w:rPr>
          <w:rFonts w:ascii="Times New Roman" w:hAnsi="Times New Roman"/>
        </w:rPr>
        <w:t xml:space="preserve">. Both BWP granularity and PRB granularity can be easily supported via </w:t>
      </w:r>
      <w:proofErr w:type="spellStart"/>
      <w:r>
        <w:rPr>
          <w:rFonts w:ascii="Times New Roman" w:hAnsi="Times New Roman"/>
        </w:rPr>
        <w:t>gNB</w:t>
      </w:r>
      <w:proofErr w:type="spellEnd"/>
      <w:r>
        <w:rPr>
          <w:rFonts w:ascii="Times New Roman" w:hAnsi="Times New Roman"/>
        </w:rPr>
        <w:t xml:space="preserve"> configuration. Comparing to BWP based option, it will cost more overhead since only BWP ID is reported in BWP based option.</w:t>
      </w:r>
    </w:p>
    <w:p w14:paraId="1BF867FB" w14:textId="64CF71F2" w:rsidR="00FF2B81" w:rsidRDefault="00FF2B81" w:rsidP="00FF2B81">
      <w:pPr>
        <w:pStyle w:val="Doc-text2"/>
        <w:ind w:left="0" w:firstLine="0"/>
        <w:rPr>
          <w:rFonts w:ascii="Times New Roman" w:hAnsi="Times New Roman"/>
          <w:b/>
          <w:bCs/>
          <w:szCs w:val="20"/>
          <w:lang w:eastAsia="zh-CN"/>
        </w:rPr>
      </w:pPr>
      <w:r w:rsidRPr="00FF2B81">
        <w:rPr>
          <w:rFonts w:ascii="Times New Roman" w:hAnsi="Times New Roman" w:hint="eastAsia"/>
          <w:b/>
          <w:bCs/>
          <w:szCs w:val="20"/>
          <w:lang w:eastAsia="zh-CN"/>
        </w:rPr>
        <w:t>P</w:t>
      </w:r>
      <w:r w:rsidRPr="00FF2B81">
        <w:rPr>
          <w:rFonts w:ascii="Times New Roman" w:hAnsi="Times New Roman"/>
          <w:b/>
          <w:bCs/>
          <w:szCs w:val="20"/>
          <w:lang w:eastAsia="zh-CN"/>
        </w:rPr>
        <w:t xml:space="preserve">roposal 1: </w:t>
      </w:r>
      <w:r w:rsidRPr="00FF2B81">
        <w:rPr>
          <w:rFonts w:ascii="Times New Roman" w:hAnsi="Times New Roman"/>
          <w:b/>
          <w:bCs/>
          <w:szCs w:val="20"/>
          <w:lang w:eastAsia="zh-CN"/>
        </w:rPr>
        <w:t>Frequency-range option</w:t>
      </w:r>
      <w:r>
        <w:rPr>
          <w:rFonts w:ascii="Times New Roman" w:hAnsi="Times New Roman"/>
          <w:b/>
          <w:bCs/>
          <w:szCs w:val="20"/>
          <w:lang w:eastAsia="zh-CN"/>
        </w:rPr>
        <w:t xml:space="preserve"> can be supported in Rel-18 IDC.</w:t>
      </w:r>
    </w:p>
    <w:p w14:paraId="07780D80" w14:textId="77777777" w:rsidR="00FF2B81" w:rsidRPr="00FF2B81" w:rsidRDefault="00FF2B81" w:rsidP="00FF2B81">
      <w:pPr>
        <w:pStyle w:val="Doc-text2"/>
        <w:ind w:left="0" w:firstLine="0"/>
        <w:rPr>
          <w:rFonts w:ascii="Times New Roman" w:hAnsi="Times New Roman"/>
          <w:b/>
          <w:bCs/>
          <w:szCs w:val="20"/>
          <w:lang w:eastAsia="zh-CN"/>
        </w:rPr>
      </w:pPr>
    </w:p>
    <w:p w14:paraId="785CAA20" w14:textId="4C560CBB" w:rsidR="001B0C1C" w:rsidRDefault="001B0C1C" w:rsidP="001B0C1C">
      <w:pPr>
        <w:spacing w:beforeLines="50" w:before="156" w:afterLines="50" w:after="156"/>
        <w:rPr>
          <w:rFonts w:ascii="Times New Roman" w:hAnsi="Times New Roman"/>
        </w:rPr>
      </w:pPr>
      <w:r w:rsidRPr="001B0C1C">
        <w:rPr>
          <w:rFonts w:ascii="Times New Roman" w:hAnsi="Times New Roman"/>
        </w:rPr>
        <w:t>Regarding f</w:t>
      </w:r>
      <w:r w:rsidRPr="001B0C1C">
        <w:rPr>
          <w:rFonts w:ascii="Times New Roman" w:hAnsi="Times New Roman"/>
        </w:rPr>
        <w:t>requency-range option</w:t>
      </w:r>
      <w:r w:rsidRPr="001B0C1C">
        <w:rPr>
          <w:rFonts w:ascii="Times New Roman" w:hAnsi="Times New Roman"/>
        </w:rPr>
        <w:t>, there are three potential options</w:t>
      </w:r>
      <w:r w:rsidR="00BA4434">
        <w:rPr>
          <w:rFonts w:ascii="Times New Roman" w:hAnsi="Times New Roman"/>
        </w:rPr>
        <w:t xml:space="preserve"> listed in the email discussion</w:t>
      </w:r>
      <w:r w:rsidRPr="001B0C1C">
        <w:rPr>
          <w:rFonts w:ascii="Times New Roman" w:hAnsi="Times New Roman"/>
        </w:rPr>
        <w:t xml:space="preserve">. Bandwidth is used in both </w:t>
      </w:r>
      <w:r w:rsidRPr="001B0C1C">
        <w:rPr>
          <w:rFonts w:ascii="Times New Roman" w:hAnsi="Times New Roman"/>
        </w:rPr>
        <w:t>option 1 and 2a</w:t>
      </w:r>
      <w:r w:rsidRPr="001B0C1C">
        <w:rPr>
          <w:rFonts w:ascii="Times New Roman" w:hAnsi="Times New Roman"/>
        </w:rPr>
        <w:t xml:space="preserve">. </w:t>
      </w:r>
      <w:r w:rsidRPr="001B0C1C">
        <w:rPr>
          <w:rFonts w:ascii="Times New Roman" w:hAnsi="Times New Roman"/>
        </w:rPr>
        <w:t>Bandwidth</w:t>
      </w:r>
      <w:r w:rsidRPr="001B0C1C">
        <w:rPr>
          <w:rFonts w:ascii="Times New Roman" w:hAnsi="Times New Roman"/>
        </w:rPr>
        <w:t xml:space="preserve"> could be configurable from </w:t>
      </w:r>
      <w:proofErr w:type="spellStart"/>
      <w:r w:rsidRPr="001B0C1C">
        <w:rPr>
          <w:rFonts w:ascii="Times New Roman" w:hAnsi="Times New Roman"/>
        </w:rPr>
        <w:t>gNB</w:t>
      </w:r>
      <w:proofErr w:type="spellEnd"/>
      <w:r w:rsidRPr="001B0C1C">
        <w:rPr>
          <w:rFonts w:ascii="Times New Roman" w:hAnsi="Times New Roman"/>
        </w:rPr>
        <w:t>. Regarding option 2</w:t>
      </w:r>
      <w:r w:rsidR="00BA4434">
        <w:rPr>
          <w:rFonts w:ascii="Times New Roman" w:hAnsi="Times New Roman"/>
        </w:rPr>
        <w:t xml:space="preserve"> with </w:t>
      </w:r>
      <w:r w:rsidR="00BA4434" w:rsidRPr="001B0C1C">
        <w:rPr>
          <w:rFonts w:ascii="Times New Roman" w:hAnsi="Times New Roman"/>
        </w:rPr>
        <w:t>starting/center frequency</w:t>
      </w:r>
      <w:r w:rsidRPr="001B0C1C">
        <w:rPr>
          <w:rFonts w:ascii="Times New Roman" w:hAnsi="Times New Roman"/>
        </w:rPr>
        <w:t xml:space="preserve">, </w:t>
      </w:r>
      <w:r w:rsidRPr="001B0C1C">
        <w:rPr>
          <w:rFonts w:ascii="Times New Roman" w:hAnsi="Times New Roman"/>
        </w:rPr>
        <w:t>ARFCN-</w:t>
      </w:r>
      <w:proofErr w:type="spellStart"/>
      <w:r w:rsidRPr="001B0C1C">
        <w:rPr>
          <w:rFonts w:ascii="Times New Roman" w:hAnsi="Times New Roman"/>
        </w:rPr>
        <w:t>ValueNR</w:t>
      </w:r>
      <w:proofErr w:type="spellEnd"/>
      <w:r w:rsidRPr="001B0C1C">
        <w:rPr>
          <w:rFonts w:ascii="Times New Roman" w:hAnsi="Times New Roman"/>
        </w:rPr>
        <w:t xml:space="preserve"> can be used to indicate </w:t>
      </w:r>
      <w:r w:rsidR="00BA4434">
        <w:rPr>
          <w:rFonts w:ascii="Times New Roman" w:hAnsi="Times New Roman"/>
        </w:rPr>
        <w:t xml:space="preserve">both </w:t>
      </w:r>
      <w:r w:rsidRPr="001B0C1C">
        <w:rPr>
          <w:rFonts w:ascii="Times New Roman" w:hAnsi="Times New Roman"/>
        </w:rPr>
        <w:t>starting</w:t>
      </w:r>
      <w:r w:rsidR="00BA4434">
        <w:rPr>
          <w:rFonts w:ascii="Times New Roman" w:hAnsi="Times New Roman"/>
        </w:rPr>
        <w:t xml:space="preserve"> frequency and ending</w:t>
      </w:r>
      <w:r w:rsidRPr="001B0C1C">
        <w:rPr>
          <w:rFonts w:ascii="Times New Roman" w:hAnsi="Times New Roman"/>
        </w:rPr>
        <w:t xml:space="preserve"> frequency</w:t>
      </w:r>
      <w:r w:rsidRPr="001B0C1C">
        <w:rPr>
          <w:rFonts w:ascii="Times New Roman" w:hAnsi="Times New Roman"/>
        </w:rPr>
        <w:t>. It seems option2 is more flexible.</w:t>
      </w:r>
      <w:r w:rsidR="00791372">
        <w:rPr>
          <w:rFonts w:ascii="Times New Roman" w:hAnsi="Times New Roman"/>
        </w:rPr>
        <w:t xml:space="preserve"> However, the granularity is also needed for option</w:t>
      </w:r>
      <w:r w:rsidR="00BA4434">
        <w:rPr>
          <w:rFonts w:ascii="Times New Roman" w:hAnsi="Times New Roman"/>
        </w:rPr>
        <w:t xml:space="preserve"> </w:t>
      </w:r>
      <w:r w:rsidR="00791372">
        <w:rPr>
          <w:rFonts w:ascii="Times New Roman" w:hAnsi="Times New Roman"/>
        </w:rPr>
        <w:t xml:space="preserve">2. Otherwise, UE itself will decide to report any granularity. Therefore, </w:t>
      </w:r>
      <w:r w:rsidR="00BA4434">
        <w:rPr>
          <w:rFonts w:ascii="Times New Roman" w:hAnsi="Times New Roman"/>
        </w:rPr>
        <w:t>the</w:t>
      </w:r>
      <w:r w:rsidR="00791372">
        <w:rPr>
          <w:rFonts w:ascii="Times New Roman" w:hAnsi="Times New Roman"/>
        </w:rPr>
        <w:t xml:space="preserve"> restriction for start/ending frequency to be reported is also need</w:t>
      </w:r>
      <w:r w:rsidR="00372F0D">
        <w:rPr>
          <w:rFonts w:ascii="Times New Roman" w:hAnsi="Times New Roman"/>
        </w:rPr>
        <w:t>ed</w:t>
      </w:r>
      <w:r w:rsidR="00791372">
        <w:rPr>
          <w:rFonts w:ascii="Times New Roman" w:hAnsi="Times New Roman"/>
        </w:rPr>
        <w:t>.</w:t>
      </w:r>
      <w:r w:rsidR="00BA4434">
        <w:rPr>
          <w:rFonts w:ascii="Times New Roman" w:hAnsi="Times New Roman"/>
        </w:rPr>
        <w:t xml:space="preserve"> If the</w:t>
      </w:r>
      <w:r w:rsidR="00BA4434">
        <w:rPr>
          <w:rFonts w:ascii="Times New Roman" w:hAnsi="Times New Roman"/>
        </w:rPr>
        <w:t xml:space="preserve"> restriction for start/ending frequency</w:t>
      </w:r>
      <w:r w:rsidR="00BA4434">
        <w:rPr>
          <w:rFonts w:ascii="Times New Roman" w:hAnsi="Times New Roman"/>
        </w:rPr>
        <w:t xml:space="preserve"> </w:t>
      </w:r>
      <w:proofErr w:type="spellStart"/>
      <w:r w:rsidR="00BA4434">
        <w:rPr>
          <w:rFonts w:ascii="Times New Roman" w:hAnsi="Times New Roman"/>
        </w:rPr>
        <w:t>e.g</w:t>
      </w:r>
      <w:proofErr w:type="spellEnd"/>
      <w:r w:rsidR="00BA4434">
        <w:rPr>
          <w:rFonts w:ascii="Times New Roman" w:hAnsi="Times New Roman"/>
        </w:rPr>
        <w:t xml:space="preserve"> bandwidth is configured, the bandwidth can be used in UE report directly.</w:t>
      </w:r>
      <w:r w:rsidR="00791372">
        <w:rPr>
          <w:rFonts w:ascii="Times New Roman" w:hAnsi="Times New Roman"/>
        </w:rPr>
        <w:t xml:space="preserve"> </w:t>
      </w:r>
    </w:p>
    <w:p w14:paraId="14AA2054" w14:textId="5389721A" w:rsidR="00372F0D" w:rsidRDefault="00372F0D" w:rsidP="00372F0D">
      <w:pPr>
        <w:pStyle w:val="Doc-text2"/>
        <w:ind w:left="0" w:firstLine="0"/>
        <w:rPr>
          <w:rFonts w:ascii="Times New Roman" w:hAnsi="Times New Roman"/>
          <w:b/>
          <w:bCs/>
          <w:szCs w:val="20"/>
          <w:lang w:eastAsia="zh-CN"/>
        </w:rPr>
      </w:pPr>
      <w:r w:rsidRPr="00372F0D">
        <w:rPr>
          <w:rFonts w:ascii="Times New Roman" w:hAnsi="Times New Roman" w:hint="eastAsia"/>
          <w:b/>
          <w:bCs/>
          <w:szCs w:val="20"/>
          <w:lang w:eastAsia="zh-CN"/>
        </w:rPr>
        <w:t>O</w:t>
      </w:r>
      <w:r w:rsidRPr="00372F0D">
        <w:rPr>
          <w:rFonts w:ascii="Times New Roman" w:hAnsi="Times New Roman"/>
          <w:b/>
          <w:bCs/>
          <w:szCs w:val="20"/>
          <w:lang w:eastAsia="zh-CN"/>
        </w:rPr>
        <w:t xml:space="preserve">bservation 1: </w:t>
      </w:r>
      <w:r>
        <w:rPr>
          <w:rFonts w:ascii="Times New Roman" w:hAnsi="Times New Roman"/>
          <w:b/>
          <w:bCs/>
          <w:szCs w:val="20"/>
          <w:lang w:eastAsia="zh-CN"/>
        </w:rPr>
        <w:t>S</w:t>
      </w:r>
      <w:r w:rsidRPr="00372F0D">
        <w:rPr>
          <w:rFonts w:ascii="Times New Roman" w:hAnsi="Times New Roman"/>
          <w:b/>
          <w:bCs/>
          <w:szCs w:val="20"/>
          <w:lang w:eastAsia="zh-CN"/>
        </w:rPr>
        <w:t>ome restriction for start/ending frequency to be reported is need</w:t>
      </w:r>
      <w:r w:rsidRPr="00372F0D">
        <w:rPr>
          <w:rFonts w:ascii="Times New Roman" w:hAnsi="Times New Roman"/>
          <w:b/>
          <w:bCs/>
          <w:szCs w:val="20"/>
          <w:lang w:eastAsia="zh-CN"/>
        </w:rPr>
        <w:t xml:space="preserve">ed from </w:t>
      </w:r>
      <w:proofErr w:type="spellStart"/>
      <w:r w:rsidRPr="00372F0D">
        <w:rPr>
          <w:rFonts w:ascii="Times New Roman" w:hAnsi="Times New Roman"/>
          <w:b/>
          <w:bCs/>
          <w:szCs w:val="20"/>
          <w:lang w:eastAsia="zh-CN"/>
        </w:rPr>
        <w:t>gNB</w:t>
      </w:r>
      <w:proofErr w:type="spellEnd"/>
      <w:r w:rsidRPr="00372F0D">
        <w:rPr>
          <w:rFonts w:ascii="Times New Roman" w:hAnsi="Times New Roman"/>
          <w:b/>
          <w:bCs/>
          <w:szCs w:val="20"/>
          <w:lang w:eastAsia="zh-CN"/>
        </w:rPr>
        <w:t>.</w:t>
      </w:r>
    </w:p>
    <w:p w14:paraId="49BA2D34" w14:textId="359459AE" w:rsidR="001B0C1C" w:rsidRDefault="00791372" w:rsidP="00791372">
      <w:pPr>
        <w:pStyle w:val="Doc-text2"/>
        <w:ind w:left="0" w:firstLine="0"/>
        <w:rPr>
          <w:rFonts w:ascii="Times New Roman" w:hAnsi="Times New Roman"/>
          <w:b/>
          <w:bCs/>
          <w:szCs w:val="20"/>
          <w:lang w:eastAsia="zh-CN"/>
        </w:rPr>
      </w:pPr>
      <w:r w:rsidRPr="00791372">
        <w:rPr>
          <w:rFonts w:ascii="Times New Roman" w:hAnsi="Times New Roman" w:hint="eastAsia"/>
          <w:b/>
          <w:bCs/>
          <w:szCs w:val="20"/>
          <w:lang w:eastAsia="zh-CN"/>
        </w:rPr>
        <w:t>P</w:t>
      </w:r>
      <w:r w:rsidRPr="00791372">
        <w:rPr>
          <w:rFonts w:ascii="Times New Roman" w:hAnsi="Times New Roman"/>
          <w:b/>
          <w:bCs/>
          <w:szCs w:val="20"/>
          <w:lang w:eastAsia="zh-CN"/>
        </w:rPr>
        <w:t>roposal 2</w:t>
      </w:r>
      <w:r w:rsidRPr="00791372">
        <w:rPr>
          <w:rFonts w:ascii="Times New Roman" w:hAnsi="Times New Roman" w:hint="eastAsia"/>
          <w:b/>
          <w:bCs/>
          <w:szCs w:val="20"/>
          <w:lang w:eastAsia="zh-CN"/>
        </w:rPr>
        <w:t>:</w:t>
      </w:r>
      <w:r w:rsidRPr="00791372">
        <w:rPr>
          <w:rFonts w:ascii="Times New Roman" w:hAnsi="Times New Roman"/>
          <w:b/>
          <w:bCs/>
          <w:szCs w:val="20"/>
          <w:lang w:eastAsia="zh-CN"/>
        </w:rPr>
        <w:t xml:space="preserve"> </w:t>
      </w:r>
      <w:r w:rsidR="00A85717">
        <w:rPr>
          <w:rFonts w:ascii="Times New Roman" w:hAnsi="Times New Roman"/>
          <w:b/>
          <w:bCs/>
          <w:szCs w:val="20"/>
          <w:lang w:eastAsia="zh-CN"/>
        </w:rPr>
        <w:t>RAN2 to discuss o</w:t>
      </w:r>
      <w:r>
        <w:rPr>
          <w:rFonts w:ascii="Times New Roman" w:hAnsi="Times New Roman"/>
          <w:b/>
          <w:bCs/>
          <w:szCs w:val="20"/>
          <w:lang w:eastAsia="zh-CN"/>
        </w:rPr>
        <w:t>ption1 (</w:t>
      </w:r>
      <w:r w:rsidRPr="00791372">
        <w:rPr>
          <w:rFonts w:ascii="Times New Roman" w:hAnsi="Times New Roman"/>
          <w:b/>
          <w:bCs/>
          <w:szCs w:val="20"/>
          <w:lang w:eastAsia="zh-CN"/>
        </w:rPr>
        <w:t>Central frequency + Bandwidth</w:t>
      </w:r>
      <w:r>
        <w:rPr>
          <w:rFonts w:ascii="Times New Roman" w:hAnsi="Times New Roman"/>
          <w:b/>
          <w:bCs/>
          <w:szCs w:val="20"/>
          <w:lang w:eastAsia="zh-CN"/>
        </w:rPr>
        <w:t>) or option 2(</w:t>
      </w:r>
      <w:r w:rsidRPr="00791372">
        <w:rPr>
          <w:rFonts w:ascii="Times New Roman" w:hAnsi="Times New Roman"/>
          <w:b/>
          <w:bCs/>
          <w:szCs w:val="20"/>
          <w:lang w:eastAsia="zh-CN"/>
        </w:rPr>
        <w:t>starting frequency + Bandwidth</w:t>
      </w:r>
      <w:r>
        <w:rPr>
          <w:rFonts w:ascii="Times New Roman" w:hAnsi="Times New Roman"/>
          <w:b/>
          <w:bCs/>
          <w:szCs w:val="20"/>
          <w:lang w:eastAsia="zh-CN"/>
        </w:rPr>
        <w:t>)</w:t>
      </w:r>
      <w:r w:rsidR="00A85717">
        <w:rPr>
          <w:rFonts w:ascii="Times New Roman" w:hAnsi="Times New Roman"/>
          <w:b/>
          <w:bCs/>
          <w:szCs w:val="20"/>
          <w:lang w:eastAsia="zh-CN"/>
        </w:rPr>
        <w:t xml:space="preserve"> can be supported</w:t>
      </w:r>
      <w:r w:rsidR="00372F0D">
        <w:rPr>
          <w:rFonts w:ascii="Times New Roman" w:hAnsi="Times New Roman"/>
          <w:b/>
          <w:bCs/>
          <w:szCs w:val="20"/>
          <w:lang w:eastAsia="zh-CN"/>
        </w:rPr>
        <w:t>.</w:t>
      </w:r>
    </w:p>
    <w:p w14:paraId="7C0B382F" w14:textId="00AF3A3D" w:rsidR="004727C5" w:rsidRDefault="004727C5" w:rsidP="00A85717">
      <w:pPr>
        <w:spacing w:beforeLines="50" w:before="156" w:afterLines="50" w:after="156"/>
        <w:rPr>
          <w:rFonts w:ascii="Times New Roman" w:hAnsi="Times New Roman"/>
        </w:rPr>
      </w:pPr>
      <w:r>
        <w:rPr>
          <w:rFonts w:ascii="Times New Roman" w:hAnsi="Times New Roman"/>
        </w:rPr>
        <w:t xml:space="preserve">It was agreed that both MN and SN will be studied in IDC. In SN initiated PSCell change without MN involvement, </w:t>
      </w:r>
      <w:r w:rsidR="00BA4434">
        <w:rPr>
          <w:rFonts w:ascii="Times New Roman" w:hAnsi="Times New Roman"/>
        </w:rPr>
        <w:t>SN itself transmits the handover request to target SN without coordination with MN.</w:t>
      </w:r>
      <w:r w:rsidR="00BA4434">
        <w:rPr>
          <w:rFonts w:ascii="Times New Roman" w:hAnsi="Times New Roman"/>
        </w:rPr>
        <w:t xml:space="preserve"> In this way, </w:t>
      </w:r>
      <w:r>
        <w:rPr>
          <w:rFonts w:ascii="Times New Roman" w:hAnsi="Times New Roman"/>
        </w:rPr>
        <w:t xml:space="preserve">MN is not aware of target cell for mobility. Therefore, </w:t>
      </w:r>
      <w:r w:rsidR="00BA4434">
        <w:rPr>
          <w:rFonts w:ascii="Times New Roman" w:hAnsi="Times New Roman"/>
        </w:rPr>
        <w:t xml:space="preserve">to support this case, </w:t>
      </w:r>
      <w:r>
        <w:rPr>
          <w:rFonts w:ascii="Times New Roman" w:hAnsi="Times New Roman"/>
        </w:rPr>
        <w:t>SN itself can be allowed to configure UE to report IDC information</w:t>
      </w:r>
      <w:r w:rsidR="00BA4434">
        <w:rPr>
          <w:rFonts w:ascii="Times New Roman" w:hAnsi="Times New Roman"/>
        </w:rPr>
        <w:t xml:space="preserve"> as well</w:t>
      </w:r>
      <w:r>
        <w:rPr>
          <w:rFonts w:ascii="Times New Roman" w:hAnsi="Times New Roman"/>
        </w:rPr>
        <w:t xml:space="preserve">. In addition, </w:t>
      </w:r>
      <w:r w:rsidR="00BA4434">
        <w:rPr>
          <w:rFonts w:ascii="Times New Roman" w:hAnsi="Times New Roman"/>
        </w:rPr>
        <w:t xml:space="preserve">the </w:t>
      </w:r>
      <w:r>
        <w:rPr>
          <w:rFonts w:ascii="Times New Roman" w:hAnsi="Times New Roman"/>
        </w:rPr>
        <w:t>non-serving frequency is also can be reported. Therefore, RAN2 need to study whether the coordination between MN and SN is needed.</w:t>
      </w:r>
    </w:p>
    <w:p w14:paraId="5ABBFA57" w14:textId="77777777" w:rsidR="004727C5" w:rsidRDefault="004727C5" w:rsidP="00BA4434">
      <w:pPr>
        <w:pStyle w:val="Doc-text2"/>
        <w:spacing w:line="360" w:lineRule="auto"/>
        <w:ind w:left="0" w:firstLine="0"/>
        <w:rPr>
          <w:rFonts w:ascii="Times New Roman" w:hAnsi="Times New Roman"/>
          <w:b/>
          <w:bCs/>
          <w:szCs w:val="20"/>
          <w:lang w:eastAsia="zh-CN"/>
        </w:rPr>
      </w:pPr>
      <w:r w:rsidRPr="004727C5">
        <w:rPr>
          <w:rFonts w:ascii="Times New Roman" w:hAnsi="Times New Roman" w:hint="eastAsia"/>
          <w:b/>
          <w:bCs/>
          <w:szCs w:val="20"/>
          <w:lang w:eastAsia="zh-CN"/>
        </w:rPr>
        <w:t>P</w:t>
      </w:r>
      <w:r w:rsidRPr="004727C5">
        <w:rPr>
          <w:rFonts w:ascii="Times New Roman" w:hAnsi="Times New Roman"/>
          <w:b/>
          <w:bCs/>
          <w:szCs w:val="20"/>
          <w:lang w:eastAsia="zh-CN"/>
        </w:rPr>
        <w:t xml:space="preserve">roposal 3: </w:t>
      </w:r>
      <w:r w:rsidRPr="004727C5">
        <w:rPr>
          <w:rFonts w:ascii="Times New Roman" w:hAnsi="Times New Roman"/>
          <w:b/>
          <w:bCs/>
          <w:szCs w:val="20"/>
          <w:lang w:eastAsia="zh-CN"/>
        </w:rPr>
        <w:t xml:space="preserve">SN itself </w:t>
      </w:r>
      <w:r>
        <w:rPr>
          <w:rFonts w:ascii="Times New Roman" w:hAnsi="Times New Roman"/>
          <w:b/>
          <w:bCs/>
          <w:szCs w:val="20"/>
          <w:lang w:eastAsia="zh-CN"/>
        </w:rPr>
        <w:t>beside MN is</w:t>
      </w:r>
      <w:r w:rsidRPr="004727C5">
        <w:rPr>
          <w:rFonts w:ascii="Times New Roman" w:hAnsi="Times New Roman"/>
          <w:b/>
          <w:bCs/>
          <w:szCs w:val="20"/>
          <w:lang w:eastAsia="zh-CN"/>
        </w:rPr>
        <w:t xml:space="preserve"> allowed to configure UE to report IDC information.</w:t>
      </w:r>
    </w:p>
    <w:p w14:paraId="5274E751" w14:textId="10A19A13" w:rsidR="00A85717" w:rsidRPr="004727C5" w:rsidRDefault="004727C5" w:rsidP="00BA4434">
      <w:pPr>
        <w:pStyle w:val="Doc-text2"/>
        <w:spacing w:line="360" w:lineRule="auto"/>
        <w:ind w:left="0" w:firstLine="0"/>
        <w:rPr>
          <w:rFonts w:ascii="Times New Roman" w:hAnsi="Times New Roman" w:hint="eastAsia"/>
          <w:b/>
          <w:bCs/>
          <w:szCs w:val="20"/>
          <w:lang w:eastAsia="zh-CN"/>
        </w:rPr>
      </w:pPr>
      <w:r>
        <w:rPr>
          <w:rFonts w:ascii="Times New Roman" w:hAnsi="Times New Roman"/>
          <w:b/>
          <w:bCs/>
          <w:szCs w:val="20"/>
          <w:lang w:eastAsia="zh-CN"/>
        </w:rPr>
        <w:t>Proposal 4: RAN2 to discuss whether the coordination between MN and SN is needed.</w:t>
      </w:r>
      <w:r w:rsidRPr="004727C5">
        <w:rPr>
          <w:rFonts w:ascii="Times New Roman" w:hAnsi="Times New Roman"/>
          <w:b/>
          <w:bCs/>
          <w:szCs w:val="20"/>
          <w:lang w:eastAsia="zh-CN"/>
        </w:rPr>
        <w:t xml:space="preserve">    </w:t>
      </w:r>
      <w:r w:rsidR="00A85717" w:rsidRPr="004727C5">
        <w:rPr>
          <w:rFonts w:ascii="Times New Roman" w:hAnsi="Times New Roman"/>
          <w:b/>
          <w:bCs/>
          <w:szCs w:val="20"/>
          <w:lang w:eastAsia="zh-CN"/>
        </w:rPr>
        <w:t xml:space="preserve"> </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03E4218E" w14:textId="5CD1E864" w:rsidR="0032040A" w:rsidRDefault="0032040A" w:rsidP="00BA4434">
      <w:pPr>
        <w:pStyle w:val="Doc-text2"/>
        <w:spacing w:line="360" w:lineRule="auto"/>
        <w:ind w:left="0" w:firstLine="0"/>
        <w:rPr>
          <w:rFonts w:ascii="Times New Roman" w:hAnsi="Times New Roman"/>
          <w:b/>
          <w:bCs/>
          <w:szCs w:val="20"/>
          <w:lang w:eastAsia="zh-CN"/>
        </w:rPr>
      </w:pPr>
      <w:r w:rsidRPr="00FF2B81">
        <w:rPr>
          <w:rFonts w:ascii="Times New Roman" w:hAnsi="Times New Roman" w:hint="eastAsia"/>
          <w:b/>
          <w:bCs/>
          <w:szCs w:val="20"/>
          <w:lang w:eastAsia="zh-CN"/>
        </w:rPr>
        <w:t>P</w:t>
      </w:r>
      <w:r w:rsidRPr="00FF2B81">
        <w:rPr>
          <w:rFonts w:ascii="Times New Roman" w:hAnsi="Times New Roman"/>
          <w:b/>
          <w:bCs/>
          <w:szCs w:val="20"/>
          <w:lang w:eastAsia="zh-CN"/>
        </w:rPr>
        <w:t>roposal 1: Frequency-range option</w:t>
      </w:r>
      <w:r>
        <w:rPr>
          <w:rFonts w:ascii="Times New Roman" w:hAnsi="Times New Roman"/>
          <w:b/>
          <w:bCs/>
          <w:szCs w:val="20"/>
          <w:lang w:eastAsia="zh-CN"/>
        </w:rPr>
        <w:t xml:space="preserve"> can be supported in Rel-18 IDC.</w:t>
      </w:r>
    </w:p>
    <w:p w14:paraId="0AF93C08" w14:textId="77777777" w:rsidR="0032040A" w:rsidRDefault="0032040A" w:rsidP="00BA4434">
      <w:pPr>
        <w:pStyle w:val="Doc-text2"/>
        <w:spacing w:line="360" w:lineRule="auto"/>
        <w:ind w:left="0" w:firstLine="0"/>
        <w:rPr>
          <w:rFonts w:ascii="Times New Roman" w:hAnsi="Times New Roman"/>
          <w:b/>
          <w:bCs/>
          <w:szCs w:val="20"/>
          <w:lang w:eastAsia="zh-CN"/>
        </w:rPr>
      </w:pPr>
      <w:r w:rsidRPr="00372F0D">
        <w:rPr>
          <w:rFonts w:ascii="Times New Roman" w:hAnsi="Times New Roman" w:hint="eastAsia"/>
          <w:b/>
          <w:bCs/>
          <w:szCs w:val="20"/>
          <w:lang w:eastAsia="zh-CN"/>
        </w:rPr>
        <w:t>O</w:t>
      </w:r>
      <w:r w:rsidRPr="00372F0D">
        <w:rPr>
          <w:rFonts w:ascii="Times New Roman" w:hAnsi="Times New Roman"/>
          <w:b/>
          <w:bCs/>
          <w:szCs w:val="20"/>
          <w:lang w:eastAsia="zh-CN"/>
        </w:rPr>
        <w:t xml:space="preserve">bservation 1: </w:t>
      </w:r>
      <w:r>
        <w:rPr>
          <w:rFonts w:ascii="Times New Roman" w:hAnsi="Times New Roman"/>
          <w:b/>
          <w:bCs/>
          <w:szCs w:val="20"/>
          <w:lang w:eastAsia="zh-CN"/>
        </w:rPr>
        <w:t>S</w:t>
      </w:r>
      <w:r w:rsidRPr="00372F0D">
        <w:rPr>
          <w:rFonts w:ascii="Times New Roman" w:hAnsi="Times New Roman"/>
          <w:b/>
          <w:bCs/>
          <w:szCs w:val="20"/>
          <w:lang w:eastAsia="zh-CN"/>
        </w:rPr>
        <w:t xml:space="preserve">ome restriction for start/ending frequency to be reported is needed from </w:t>
      </w:r>
      <w:proofErr w:type="spellStart"/>
      <w:r w:rsidRPr="00372F0D">
        <w:rPr>
          <w:rFonts w:ascii="Times New Roman" w:hAnsi="Times New Roman"/>
          <w:b/>
          <w:bCs/>
          <w:szCs w:val="20"/>
          <w:lang w:eastAsia="zh-CN"/>
        </w:rPr>
        <w:t>gNB</w:t>
      </w:r>
      <w:proofErr w:type="spellEnd"/>
      <w:r w:rsidRPr="00372F0D">
        <w:rPr>
          <w:rFonts w:ascii="Times New Roman" w:hAnsi="Times New Roman"/>
          <w:b/>
          <w:bCs/>
          <w:szCs w:val="20"/>
          <w:lang w:eastAsia="zh-CN"/>
        </w:rPr>
        <w:t>.</w:t>
      </w:r>
    </w:p>
    <w:p w14:paraId="1680C15F" w14:textId="77777777" w:rsidR="0032040A" w:rsidRDefault="0032040A" w:rsidP="00BA4434">
      <w:pPr>
        <w:pStyle w:val="Doc-text2"/>
        <w:spacing w:line="360" w:lineRule="auto"/>
        <w:ind w:left="0" w:firstLine="0"/>
        <w:rPr>
          <w:rFonts w:ascii="Times New Roman" w:hAnsi="Times New Roman"/>
          <w:b/>
          <w:bCs/>
          <w:szCs w:val="20"/>
          <w:lang w:eastAsia="zh-CN"/>
        </w:rPr>
      </w:pPr>
      <w:r w:rsidRPr="00791372">
        <w:rPr>
          <w:rFonts w:ascii="Times New Roman" w:hAnsi="Times New Roman" w:hint="eastAsia"/>
          <w:b/>
          <w:bCs/>
          <w:szCs w:val="20"/>
          <w:lang w:eastAsia="zh-CN"/>
        </w:rPr>
        <w:t>P</w:t>
      </w:r>
      <w:r w:rsidRPr="00791372">
        <w:rPr>
          <w:rFonts w:ascii="Times New Roman" w:hAnsi="Times New Roman"/>
          <w:b/>
          <w:bCs/>
          <w:szCs w:val="20"/>
          <w:lang w:eastAsia="zh-CN"/>
        </w:rPr>
        <w:t>roposal 2</w:t>
      </w:r>
      <w:r w:rsidRPr="00791372">
        <w:rPr>
          <w:rFonts w:ascii="Times New Roman" w:hAnsi="Times New Roman" w:hint="eastAsia"/>
          <w:b/>
          <w:bCs/>
          <w:szCs w:val="20"/>
          <w:lang w:eastAsia="zh-CN"/>
        </w:rPr>
        <w:t>:</w:t>
      </w:r>
      <w:r w:rsidRPr="00791372">
        <w:rPr>
          <w:rFonts w:ascii="Times New Roman" w:hAnsi="Times New Roman"/>
          <w:b/>
          <w:bCs/>
          <w:szCs w:val="20"/>
          <w:lang w:eastAsia="zh-CN"/>
        </w:rPr>
        <w:t xml:space="preserve"> </w:t>
      </w:r>
      <w:r>
        <w:rPr>
          <w:rFonts w:ascii="Times New Roman" w:hAnsi="Times New Roman"/>
          <w:b/>
          <w:bCs/>
          <w:szCs w:val="20"/>
          <w:lang w:eastAsia="zh-CN"/>
        </w:rPr>
        <w:t>RAN2 to discuss option1 (</w:t>
      </w:r>
      <w:r w:rsidRPr="00791372">
        <w:rPr>
          <w:rFonts w:ascii="Times New Roman" w:hAnsi="Times New Roman"/>
          <w:b/>
          <w:bCs/>
          <w:szCs w:val="20"/>
          <w:lang w:eastAsia="zh-CN"/>
        </w:rPr>
        <w:t>Central frequency + Bandwidth</w:t>
      </w:r>
      <w:r>
        <w:rPr>
          <w:rFonts w:ascii="Times New Roman" w:hAnsi="Times New Roman"/>
          <w:b/>
          <w:bCs/>
          <w:szCs w:val="20"/>
          <w:lang w:eastAsia="zh-CN"/>
        </w:rPr>
        <w:t>) or option 2(</w:t>
      </w:r>
      <w:r w:rsidRPr="00791372">
        <w:rPr>
          <w:rFonts w:ascii="Times New Roman" w:hAnsi="Times New Roman"/>
          <w:b/>
          <w:bCs/>
          <w:szCs w:val="20"/>
          <w:lang w:eastAsia="zh-CN"/>
        </w:rPr>
        <w:t>starting frequency + Bandwidth</w:t>
      </w:r>
      <w:r>
        <w:rPr>
          <w:rFonts w:ascii="Times New Roman" w:hAnsi="Times New Roman"/>
          <w:b/>
          <w:bCs/>
          <w:szCs w:val="20"/>
          <w:lang w:eastAsia="zh-CN"/>
        </w:rPr>
        <w:t>) can be supported.</w:t>
      </w:r>
    </w:p>
    <w:p w14:paraId="0471F012" w14:textId="77777777" w:rsidR="0032040A" w:rsidRDefault="0032040A" w:rsidP="00BA4434">
      <w:pPr>
        <w:pStyle w:val="Doc-text2"/>
        <w:spacing w:line="360" w:lineRule="auto"/>
        <w:ind w:left="0" w:firstLine="0"/>
        <w:rPr>
          <w:rFonts w:ascii="Times New Roman" w:hAnsi="Times New Roman"/>
          <w:b/>
          <w:bCs/>
          <w:szCs w:val="20"/>
          <w:lang w:eastAsia="zh-CN"/>
        </w:rPr>
      </w:pPr>
      <w:r w:rsidRPr="004727C5">
        <w:rPr>
          <w:rFonts w:ascii="Times New Roman" w:hAnsi="Times New Roman" w:hint="eastAsia"/>
          <w:b/>
          <w:bCs/>
          <w:szCs w:val="20"/>
          <w:lang w:eastAsia="zh-CN"/>
        </w:rPr>
        <w:lastRenderedPageBreak/>
        <w:t>P</w:t>
      </w:r>
      <w:r w:rsidRPr="004727C5">
        <w:rPr>
          <w:rFonts w:ascii="Times New Roman" w:hAnsi="Times New Roman"/>
          <w:b/>
          <w:bCs/>
          <w:szCs w:val="20"/>
          <w:lang w:eastAsia="zh-CN"/>
        </w:rPr>
        <w:t xml:space="preserve">roposal 3: SN itself </w:t>
      </w:r>
      <w:r>
        <w:rPr>
          <w:rFonts w:ascii="Times New Roman" w:hAnsi="Times New Roman"/>
          <w:b/>
          <w:bCs/>
          <w:szCs w:val="20"/>
          <w:lang w:eastAsia="zh-CN"/>
        </w:rPr>
        <w:t>beside MN is</w:t>
      </w:r>
      <w:r w:rsidRPr="004727C5">
        <w:rPr>
          <w:rFonts w:ascii="Times New Roman" w:hAnsi="Times New Roman"/>
          <w:b/>
          <w:bCs/>
          <w:szCs w:val="20"/>
          <w:lang w:eastAsia="zh-CN"/>
        </w:rPr>
        <w:t xml:space="preserve"> allowed to configure UE to report IDC information.</w:t>
      </w:r>
    </w:p>
    <w:p w14:paraId="7BCD3864" w14:textId="16232BA0" w:rsidR="0032040A" w:rsidRPr="0032040A" w:rsidRDefault="0032040A" w:rsidP="00BA4434">
      <w:pPr>
        <w:pStyle w:val="Doc-text2"/>
        <w:spacing w:line="360" w:lineRule="auto"/>
        <w:ind w:left="0" w:firstLine="0"/>
        <w:rPr>
          <w:rFonts w:ascii="Times New Roman" w:hAnsi="Times New Roman"/>
          <w:b/>
          <w:bCs/>
          <w:szCs w:val="20"/>
          <w:lang w:eastAsia="zh-CN"/>
        </w:rPr>
      </w:pPr>
      <w:r>
        <w:rPr>
          <w:rFonts w:ascii="Times New Roman" w:hAnsi="Times New Roman"/>
          <w:b/>
          <w:bCs/>
          <w:szCs w:val="20"/>
          <w:lang w:eastAsia="zh-CN"/>
        </w:rPr>
        <w:t>Proposal 4: RAN2 to discuss whether the coordination between MN and SN is needed.</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664850EE" w:rsidR="001921B4" w:rsidRDefault="00ED77AE" w:rsidP="009F5674">
      <w:pPr>
        <w:pStyle w:val="References"/>
      </w:pPr>
      <w:r>
        <w:t>RAN2 chairman notes for RAN2#119</w:t>
      </w:r>
      <w:r w:rsidR="007F1096">
        <w:t>bis</w:t>
      </w:r>
      <w:r>
        <w:t>e</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9EFF1" w14:textId="77777777" w:rsidR="00534644" w:rsidRDefault="00534644">
      <w:r>
        <w:separator/>
      </w:r>
    </w:p>
  </w:endnote>
  <w:endnote w:type="continuationSeparator" w:id="0">
    <w:p w14:paraId="52D2D8DE" w14:textId="77777777" w:rsidR="00534644" w:rsidRDefault="0053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F1E46" w14:textId="77777777" w:rsidR="00534644" w:rsidRDefault="00534644">
      <w:r>
        <w:separator/>
      </w:r>
    </w:p>
  </w:footnote>
  <w:footnote w:type="continuationSeparator" w:id="0">
    <w:p w14:paraId="4C766CC0" w14:textId="77777777" w:rsidR="00534644" w:rsidRDefault="00534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8229EC"/>
    <w:multiLevelType w:val="hybridMultilevel"/>
    <w:tmpl w:val="7EB2E5E2"/>
    <w:lvl w:ilvl="0" w:tplc="561CE040">
      <w:start w:val="2"/>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3"/>
  </w:num>
  <w:num w:numId="4">
    <w:abstractNumId w:val="12"/>
  </w:num>
  <w:num w:numId="5">
    <w:abstractNumId w:val="7"/>
  </w:num>
  <w:num w:numId="6">
    <w:abstractNumId w:val="9"/>
  </w:num>
  <w:num w:numId="7">
    <w:abstractNumId w:val="3"/>
  </w:num>
  <w:num w:numId="8">
    <w:abstractNumId w:val="6"/>
  </w:num>
  <w:num w:numId="9">
    <w:abstractNumId w:val="1"/>
  </w:num>
  <w:num w:numId="10">
    <w:abstractNumId w:val="11"/>
  </w:num>
  <w:num w:numId="11">
    <w:abstractNumId w:val="4"/>
  </w:num>
  <w:num w:numId="12">
    <w:abstractNumId w:val="13"/>
  </w:num>
  <w:num w:numId="13">
    <w:abstractNumId w:val="8"/>
  </w:num>
  <w:num w:numId="14">
    <w:abstractNumId w:val="5"/>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B1A"/>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0C1C"/>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A"/>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2F0D"/>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7C5"/>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644"/>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6F50"/>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939"/>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4979"/>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1372"/>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014"/>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319"/>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2D51"/>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0D1"/>
    <w:rsid w:val="00A032B7"/>
    <w:rsid w:val="00A040DA"/>
    <w:rsid w:val="00A042E5"/>
    <w:rsid w:val="00A044B9"/>
    <w:rsid w:val="00A04512"/>
    <w:rsid w:val="00A048AB"/>
    <w:rsid w:val="00A04D75"/>
    <w:rsid w:val="00A0681F"/>
    <w:rsid w:val="00A0750C"/>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717"/>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46D"/>
    <w:rsid w:val="00AA6D41"/>
    <w:rsid w:val="00AA7012"/>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6EFB"/>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434"/>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2B81"/>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3</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122</cp:revision>
  <cp:lastPrinted>2012-10-30T00:20:00Z</cp:lastPrinted>
  <dcterms:created xsi:type="dcterms:W3CDTF">2022-08-03T23:49:00Z</dcterms:created>
  <dcterms:modified xsi:type="dcterms:W3CDTF">2022-11-04T08:42:00Z</dcterms:modified>
</cp:coreProperties>
</file>